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9DA" w:rsidRPr="00D329DA" w:rsidRDefault="00D329DA" w:rsidP="00D329DA">
      <w:pPr>
        <w:spacing w:after="200" w:line="276" w:lineRule="auto"/>
        <w:jc w:val="both"/>
        <w:rPr>
          <w:rFonts w:ascii="Calibri" w:eastAsia="Calibri" w:hAnsi="Calibri" w:cs="Arial"/>
          <w:b/>
          <w:bCs/>
          <w:color w:val="auto"/>
          <w:sz w:val="32"/>
          <w:szCs w:val="32"/>
          <w:lang w:val="en-US"/>
        </w:rPr>
      </w:pPr>
      <w:r w:rsidRPr="00D329DA">
        <w:rPr>
          <w:rFonts w:ascii="Calibri" w:eastAsia="Calibri" w:hAnsi="Calibri" w:cs="Arial"/>
          <w:b/>
          <w:bCs/>
          <w:color w:val="auto"/>
          <w:sz w:val="32"/>
          <w:szCs w:val="32"/>
          <w:lang w:val="en-US"/>
        </w:rPr>
        <w:t>GOAL 9</w:t>
      </w:r>
    </w:p>
    <w:p w:rsidR="00D329DA" w:rsidRPr="00D329DA" w:rsidRDefault="00D329DA" w:rsidP="00D329DA">
      <w:pPr>
        <w:spacing w:after="200" w:line="276" w:lineRule="auto"/>
        <w:rPr>
          <w:rFonts w:ascii="Calibri" w:eastAsia="Calibri" w:hAnsi="Calibri" w:cs="Arial"/>
          <w:color w:val="auto"/>
          <w:sz w:val="22"/>
          <w:szCs w:val="22"/>
          <w:lang w:val="fr-CH"/>
        </w:rPr>
      </w:pPr>
      <w:r w:rsidRPr="00D329DA">
        <w:rPr>
          <w:rFonts w:ascii="Calibri" w:eastAsia="Calibri" w:hAnsi="Calibri" w:cs="Arial"/>
          <w:noProof/>
          <w:color w:val="auto"/>
          <w:sz w:val="22"/>
          <w:szCs w:val="22"/>
          <w:lang w:eastAsia="en-GB"/>
        </w:rPr>
        <w:drawing>
          <wp:inline distT="0" distB="0" distL="0" distR="0" wp14:anchorId="1D55D6F3" wp14:editId="0123EEB7">
            <wp:extent cx="8892540" cy="544511"/>
            <wp:effectExtent l="0" t="0" r="3810" b="8255"/>
            <wp:docPr id="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92540" cy="544511"/>
                    </a:xfrm>
                    <a:prstGeom prst="rect">
                      <a:avLst/>
                    </a:prstGeom>
                    <a:noFill/>
                    <a:ln>
                      <a:noFill/>
                    </a:ln>
                  </pic:spPr>
                </pic:pic>
              </a:graphicData>
            </a:graphic>
          </wp:inline>
        </w:drawing>
      </w:r>
    </w:p>
    <w:p w:rsidR="00D329DA" w:rsidRPr="00D329DA" w:rsidRDefault="00D329DA" w:rsidP="00D329DA">
      <w:pPr>
        <w:spacing w:after="200" w:line="276" w:lineRule="auto"/>
        <w:rPr>
          <w:rFonts w:ascii="Calibri" w:eastAsia="Calibri" w:hAnsi="Calibri" w:cs="Arial"/>
          <w:color w:val="auto"/>
          <w:sz w:val="22"/>
          <w:szCs w:val="22"/>
          <w:lang w:val="en-US"/>
        </w:rPr>
      </w:pPr>
      <w:r w:rsidRPr="00D329DA">
        <w:rPr>
          <w:rFonts w:ascii="Calibri" w:eastAsia="Calibri" w:hAnsi="Calibri" w:cs="Arial"/>
          <w:color w:val="auto"/>
          <w:sz w:val="22"/>
          <w:szCs w:val="22"/>
          <w:lang w:val="en-US"/>
        </w:rPr>
        <w:t xml:space="preserve">Quality of the service delivered by postal and express delivery networks have been a major focus in the postal and delivery industry for more than two decades. With the development of e-commerce, the focus on quality of service and reliability of postal and parcel services has become even more important. Postal and express delivery networks massively invest in tracking and quality of service measurement systems in order to increase the predictability of shipping services for their customers. By so-doing, they collect unique real-time data on the quality of service of their infrastructure, which is also often linked to overall quality of the infrastructure in one country. </w:t>
      </w:r>
    </w:p>
    <w:p w:rsidR="00D329DA" w:rsidRPr="00D329DA" w:rsidRDefault="00D329DA" w:rsidP="00D329DA">
      <w:pPr>
        <w:spacing w:after="200" w:line="276" w:lineRule="auto"/>
        <w:rPr>
          <w:rFonts w:ascii="Calibri" w:eastAsia="Calibri" w:hAnsi="Calibri" w:cs="Arial"/>
          <w:b/>
          <w:bCs/>
          <w:i/>
          <w:iCs/>
          <w:color w:val="auto"/>
          <w:sz w:val="22"/>
          <w:szCs w:val="22"/>
          <w:lang w:val="en-US"/>
        </w:rPr>
      </w:pPr>
      <w:r w:rsidRPr="00D329DA">
        <w:rPr>
          <w:rFonts w:ascii="Calibri" w:eastAsia="Calibri" w:hAnsi="Calibri" w:cs="Arial"/>
          <w:b/>
          <w:bCs/>
          <w:i/>
          <w:iCs/>
          <w:color w:val="auto"/>
          <w:sz w:val="22"/>
          <w:szCs w:val="22"/>
          <w:lang w:val="en-US"/>
        </w:rPr>
        <w:t>Replacing indicator 9.1.1 with new indicator and enriching indicator 9.1.2 with complementary data</w:t>
      </w:r>
    </w:p>
    <w:p w:rsidR="00D329DA" w:rsidRPr="00D329DA" w:rsidRDefault="00D329DA" w:rsidP="00D329DA">
      <w:pPr>
        <w:spacing w:after="200" w:line="276" w:lineRule="auto"/>
        <w:jc w:val="both"/>
        <w:rPr>
          <w:rFonts w:ascii="Calibri" w:eastAsia="Calibri" w:hAnsi="Calibri" w:cs="Arial"/>
          <w:color w:val="auto"/>
          <w:sz w:val="22"/>
          <w:szCs w:val="22"/>
          <w:lang w:val="en-US"/>
        </w:rPr>
      </w:pPr>
      <w:r w:rsidRPr="00D329DA">
        <w:rPr>
          <w:rFonts w:ascii="Calibri" w:eastAsia="Calibri" w:hAnsi="Calibri" w:cs="Arial"/>
          <w:color w:val="auto"/>
          <w:sz w:val="22"/>
          <w:szCs w:val="22"/>
          <w:lang w:val="en-US"/>
        </w:rPr>
        <w:t xml:space="preserve">The indicators suggested by the UPU are derived from on-going joint research work with the Logistics Performance Index team of the World Bank as well as with UNCTAD on e-commerce and the information economy. These indicators are (and will be) extensively used by both institutions and the UPU in a variety of activities and projects. </w:t>
      </w:r>
    </w:p>
    <w:p w:rsidR="00D329DA" w:rsidRPr="00D329DA" w:rsidRDefault="00D329DA" w:rsidP="00D329DA">
      <w:pPr>
        <w:spacing w:after="200" w:line="276" w:lineRule="auto"/>
        <w:jc w:val="both"/>
        <w:rPr>
          <w:rFonts w:ascii="Calibri" w:eastAsia="Calibri" w:hAnsi="Calibri" w:cs="Arial"/>
          <w:color w:val="auto"/>
          <w:sz w:val="22"/>
          <w:szCs w:val="22"/>
          <w:lang w:val="en-US"/>
        </w:rPr>
      </w:pPr>
      <w:r w:rsidRPr="00D329DA">
        <w:rPr>
          <w:rFonts w:ascii="Calibri" w:eastAsia="Calibri" w:hAnsi="Calibri" w:cs="Arial"/>
          <w:color w:val="auto"/>
          <w:sz w:val="22"/>
          <w:szCs w:val="22"/>
          <w:lang w:val="en-US"/>
        </w:rPr>
        <w:t xml:space="preserve">The UPU collects real-time tracking data on international e-commerce transactions totaling several billions records every year. Tracking data enable to measure shipping times between different stages of the shipping process, thus enabling to distinguish shipping delays generated by domestic delivery or collection, or delays generated by international transportation and connectivity. A wide range of tracking data details is available from origin to destination. Moreover this data can be complemented by other global postal measurement systems for the quality of service performance. </w:t>
      </w:r>
    </w:p>
    <w:p w:rsidR="00D329DA" w:rsidRPr="00D329DA" w:rsidRDefault="00D329DA" w:rsidP="00D329DA">
      <w:pPr>
        <w:spacing w:after="200" w:line="276" w:lineRule="auto"/>
        <w:jc w:val="both"/>
        <w:rPr>
          <w:rFonts w:ascii="Calibri" w:eastAsia="Calibri" w:hAnsi="Calibri" w:cs="Arial"/>
          <w:color w:val="auto"/>
          <w:sz w:val="22"/>
          <w:szCs w:val="22"/>
          <w:lang w:val="en-US"/>
        </w:rPr>
      </w:pPr>
      <w:r w:rsidRPr="00D329DA">
        <w:rPr>
          <w:rFonts w:ascii="Calibri" w:eastAsia="Calibri" w:hAnsi="Calibri" w:cs="Arial"/>
          <w:color w:val="auto"/>
          <w:sz w:val="22"/>
          <w:szCs w:val="22"/>
          <w:lang w:val="en-US"/>
        </w:rPr>
        <w:t xml:space="preserve">Besides UPU’s postal big data, the UPU will also start collecting data on quality of service achievements by different countries through its annual data collection for the purpose UPU official postal statistics (as of 2015/16). More details are provided in Annex 1 under the “delivery” section. Part of the data is also publicly available on the UPU website: </w:t>
      </w:r>
      <w:hyperlink r:id="rId6" w:history="1">
        <w:r w:rsidRPr="00D329DA">
          <w:rPr>
            <w:rFonts w:ascii="Calibri" w:eastAsia="Calibri" w:hAnsi="Calibri" w:cs="Arial"/>
            <w:color w:val="0000FF"/>
            <w:sz w:val="22"/>
            <w:szCs w:val="22"/>
            <w:u w:val="single"/>
            <w:lang w:val="en-US"/>
          </w:rPr>
          <w:t>http://pls.upu.int/pls/ap/ssp_report.main?p_language=AN&amp;p_choice=BROWSE</w:t>
        </w:r>
      </w:hyperlink>
      <w:r w:rsidRPr="00D329DA">
        <w:rPr>
          <w:rFonts w:ascii="Calibri" w:eastAsia="Calibri" w:hAnsi="Calibri" w:cs="Arial"/>
          <w:color w:val="auto"/>
          <w:sz w:val="22"/>
          <w:szCs w:val="22"/>
          <w:lang w:val="en-US"/>
        </w:rPr>
        <w:t xml:space="preserve"> .</w:t>
      </w:r>
    </w:p>
    <w:p w:rsidR="00D329DA" w:rsidRPr="00D329DA" w:rsidRDefault="00D329DA" w:rsidP="00D329DA">
      <w:pPr>
        <w:spacing w:after="200" w:line="276" w:lineRule="auto"/>
        <w:jc w:val="both"/>
        <w:rPr>
          <w:rFonts w:ascii="Calibri" w:eastAsia="Calibri" w:hAnsi="Calibri" w:cs="Arial"/>
          <w:i/>
          <w:iCs/>
          <w:color w:val="auto"/>
          <w:sz w:val="18"/>
          <w:szCs w:val="18"/>
          <w:lang w:val="en-US"/>
        </w:rPr>
      </w:pPr>
      <w:r w:rsidRPr="00D329DA">
        <w:rPr>
          <w:rFonts w:ascii="Calibri" w:eastAsia="Calibri" w:hAnsi="Calibri" w:cs="Arial"/>
          <w:i/>
          <w:iCs/>
          <w:color w:val="auto"/>
          <w:sz w:val="18"/>
          <w:szCs w:val="18"/>
          <w:lang w:val="en-US"/>
        </w:rPr>
        <w:t>References</w:t>
      </w:r>
    </w:p>
    <w:p w:rsidR="00D329DA" w:rsidRPr="00D329DA" w:rsidRDefault="00D329DA" w:rsidP="00D329DA">
      <w:pPr>
        <w:spacing w:after="200" w:line="276" w:lineRule="auto"/>
        <w:rPr>
          <w:rFonts w:ascii="Calibri" w:eastAsia="Calibri" w:hAnsi="Calibri" w:cs="Arial"/>
          <w:color w:val="auto"/>
          <w:sz w:val="18"/>
          <w:szCs w:val="18"/>
          <w:lang w:val="en-US"/>
        </w:rPr>
      </w:pPr>
      <w:proofErr w:type="gramStart"/>
      <w:r w:rsidRPr="00D329DA">
        <w:rPr>
          <w:rFonts w:ascii="Calibri" w:eastAsia="Calibri" w:hAnsi="Calibri" w:cs="Arial"/>
          <w:color w:val="auto"/>
          <w:sz w:val="18"/>
          <w:szCs w:val="18"/>
          <w:lang w:val="en-US"/>
        </w:rPr>
        <w:t>UNCTAD.</w:t>
      </w:r>
      <w:proofErr w:type="gramEnd"/>
      <w:r w:rsidRPr="00D329DA">
        <w:rPr>
          <w:rFonts w:ascii="Calibri" w:eastAsia="Calibri" w:hAnsi="Calibri" w:cs="Arial"/>
          <w:color w:val="auto"/>
          <w:sz w:val="18"/>
          <w:szCs w:val="18"/>
          <w:lang w:val="en-US"/>
        </w:rPr>
        <w:t xml:space="preserve"> </w:t>
      </w:r>
      <w:proofErr w:type="gramStart"/>
      <w:r w:rsidRPr="00D329DA">
        <w:rPr>
          <w:rFonts w:ascii="Calibri" w:eastAsia="Calibri" w:hAnsi="Calibri" w:cs="Arial"/>
          <w:color w:val="auto"/>
          <w:sz w:val="18"/>
          <w:szCs w:val="18"/>
          <w:lang w:val="en-US"/>
        </w:rPr>
        <w:t>(2015). Information Economy Report 2015.</w:t>
      </w:r>
      <w:proofErr w:type="gramEnd"/>
      <w:r w:rsidRPr="00D329DA">
        <w:rPr>
          <w:rFonts w:ascii="Calibri" w:eastAsia="Calibri" w:hAnsi="Calibri" w:cs="Arial"/>
          <w:color w:val="auto"/>
          <w:sz w:val="18"/>
          <w:szCs w:val="18"/>
          <w:lang w:val="en-US"/>
        </w:rPr>
        <w:t xml:space="preserve"> </w:t>
      </w:r>
      <w:proofErr w:type="gramStart"/>
      <w:r w:rsidRPr="00D329DA">
        <w:rPr>
          <w:rFonts w:ascii="Calibri" w:eastAsia="Calibri" w:hAnsi="Calibri" w:cs="Arial"/>
          <w:color w:val="auto"/>
          <w:sz w:val="18"/>
          <w:szCs w:val="18"/>
          <w:lang w:val="en-US"/>
        </w:rPr>
        <w:t>Unlocking the Potential of E-commerce for Developing Countries.</w:t>
      </w:r>
      <w:proofErr w:type="gramEnd"/>
      <w:r w:rsidRPr="00D329DA">
        <w:rPr>
          <w:rFonts w:ascii="Calibri" w:eastAsia="Calibri" w:hAnsi="Calibri" w:cs="Arial"/>
          <w:color w:val="auto"/>
          <w:sz w:val="18"/>
          <w:szCs w:val="18"/>
          <w:lang w:val="en-US"/>
        </w:rPr>
        <w:t xml:space="preserve"> </w:t>
      </w:r>
      <w:proofErr w:type="gramStart"/>
      <w:r w:rsidRPr="00D329DA">
        <w:rPr>
          <w:rFonts w:ascii="Calibri" w:eastAsia="Calibri" w:hAnsi="Calibri" w:cs="Arial"/>
          <w:color w:val="auto"/>
          <w:sz w:val="18"/>
          <w:szCs w:val="18"/>
          <w:lang w:val="en-US"/>
        </w:rPr>
        <w:t>UNCTAD.</w:t>
      </w:r>
      <w:proofErr w:type="gramEnd"/>
      <w:r w:rsidRPr="00D329DA">
        <w:rPr>
          <w:rFonts w:ascii="Calibri" w:eastAsia="Calibri" w:hAnsi="Calibri" w:cs="Arial"/>
          <w:color w:val="auto"/>
          <w:sz w:val="18"/>
          <w:szCs w:val="18"/>
          <w:lang w:val="en-US"/>
        </w:rPr>
        <w:t xml:space="preserve"> </w:t>
      </w:r>
      <w:r w:rsidRPr="00D329DA">
        <w:rPr>
          <w:rFonts w:ascii="Calibri" w:eastAsia="Calibri" w:hAnsi="Calibri" w:cs="Arial"/>
          <w:color w:val="auto"/>
          <w:sz w:val="18"/>
          <w:szCs w:val="18"/>
          <w:lang w:val="en-US"/>
        </w:rPr>
        <w:br/>
        <w:t xml:space="preserve">At: </w:t>
      </w:r>
      <w:hyperlink r:id="rId7" w:history="1">
        <w:r w:rsidRPr="00D329DA">
          <w:rPr>
            <w:rFonts w:ascii="Calibri" w:eastAsia="Calibri" w:hAnsi="Calibri" w:cs="Arial"/>
            <w:color w:val="0000FF"/>
            <w:sz w:val="18"/>
            <w:szCs w:val="18"/>
            <w:u w:val="single"/>
            <w:lang w:val="en-US"/>
          </w:rPr>
          <w:t>http://unctad.org/en/PublicationsLibrary/ier2015_en.pdf</w:t>
        </w:r>
      </w:hyperlink>
      <w:r w:rsidRPr="00D329DA">
        <w:rPr>
          <w:rFonts w:ascii="Calibri" w:eastAsia="Calibri" w:hAnsi="Calibri" w:cs="Arial"/>
          <w:color w:val="auto"/>
          <w:sz w:val="18"/>
          <w:szCs w:val="18"/>
          <w:lang w:val="en-US"/>
        </w:rPr>
        <w:t xml:space="preserve"> </w:t>
      </w:r>
    </w:p>
    <w:p w:rsidR="00D329DA" w:rsidRPr="00D329DA" w:rsidRDefault="00D329DA" w:rsidP="00D329DA">
      <w:pPr>
        <w:spacing w:after="200" w:line="276" w:lineRule="auto"/>
        <w:rPr>
          <w:rFonts w:ascii="Calibri" w:eastAsia="Calibri" w:hAnsi="Calibri" w:cs="Arial"/>
          <w:color w:val="auto"/>
          <w:sz w:val="22"/>
          <w:szCs w:val="22"/>
          <w:lang w:val="en-US"/>
        </w:rPr>
      </w:pPr>
      <w:r w:rsidRPr="00D329DA">
        <w:rPr>
          <w:rFonts w:ascii="Calibri" w:eastAsia="Calibri" w:hAnsi="Calibri" w:cs="Arial"/>
          <w:noProof/>
          <w:color w:val="auto"/>
          <w:sz w:val="22"/>
          <w:szCs w:val="22"/>
          <w:lang w:eastAsia="en-GB"/>
        </w:rPr>
        <w:lastRenderedPageBreak/>
        <w:drawing>
          <wp:inline distT="0" distB="0" distL="0" distR="0" wp14:anchorId="5A898C10" wp14:editId="69CF3ABF">
            <wp:extent cx="8892540" cy="311203"/>
            <wp:effectExtent l="0" t="0" r="3810" b="0"/>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2540" cy="311203"/>
                    </a:xfrm>
                    <a:prstGeom prst="rect">
                      <a:avLst/>
                    </a:prstGeom>
                    <a:noFill/>
                    <a:ln>
                      <a:noFill/>
                    </a:ln>
                  </pic:spPr>
                </pic:pic>
              </a:graphicData>
            </a:graphic>
          </wp:inline>
        </w:drawing>
      </w:r>
    </w:p>
    <w:p w:rsidR="00D329DA" w:rsidRPr="00D329DA" w:rsidRDefault="00D329DA" w:rsidP="00D329DA">
      <w:pPr>
        <w:spacing w:after="200" w:line="276" w:lineRule="auto"/>
        <w:jc w:val="both"/>
        <w:rPr>
          <w:rFonts w:ascii="Calibri" w:eastAsia="Calibri" w:hAnsi="Calibri" w:cs="Arial"/>
          <w:color w:val="auto"/>
          <w:sz w:val="22"/>
          <w:szCs w:val="22"/>
          <w:lang w:val="en-US"/>
        </w:rPr>
      </w:pPr>
      <w:r w:rsidRPr="00D329DA">
        <w:rPr>
          <w:rFonts w:ascii="Calibri" w:eastAsia="Calibri" w:hAnsi="Calibri" w:cs="Arial"/>
          <w:color w:val="auto"/>
          <w:sz w:val="22"/>
          <w:szCs w:val="22"/>
          <w:lang w:val="en-US"/>
        </w:rPr>
        <w:t>While measuring progress in access to the Internet is paramount, the measure of the progress in the actual use of the Internet is equally important. One of the greatest impacts of the Internet has been the development of e-commerce. The number and value of e-commerce transactions will represent an increasing share in countries GDP in the coming two decades. Online orders of physical goods are processed and delivered by postal, express and other delivery logistics networks.</w:t>
      </w:r>
    </w:p>
    <w:p w:rsidR="00D329DA" w:rsidRPr="00D329DA" w:rsidRDefault="00D329DA" w:rsidP="00D329DA">
      <w:pPr>
        <w:spacing w:after="200" w:line="276" w:lineRule="auto"/>
        <w:jc w:val="both"/>
        <w:rPr>
          <w:rFonts w:ascii="Calibri" w:eastAsia="Calibri" w:hAnsi="Calibri" w:cs="Arial"/>
          <w:b/>
          <w:bCs/>
          <w:i/>
          <w:iCs/>
          <w:color w:val="auto"/>
          <w:sz w:val="22"/>
          <w:szCs w:val="22"/>
          <w:lang w:val="en-US"/>
        </w:rPr>
      </w:pPr>
      <w:r w:rsidRPr="00D329DA">
        <w:rPr>
          <w:rFonts w:ascii="Calibri" w:eastAsia="Calibri" w:hAnsi="Calibri" w:cs="Arial"/>
          <w:b/>
          <w:bCs/>
          <w:i/>
          <w:iCs/>
          <w:color w:val="auto"/>
          <w:sz w:val="22"/>
          <w:szCs w:val="22"/>
          <w:lang w:val="en-US"/>
        </w:rPr>
        <w:t>Adding a new indicator 9.c.3</w:t>
      </w:r>
    </w:p>
    <w:p w:rsidR="00D329DA" w:rsidRPr="00D329DA" w:rsidRDefault="00D329DA" w:rsidP="00D329DA">
      <w:pPr>
        <w:spacing w:after="200" w:line="276" w:lineRule="auto"/>
        <w:jc w:val="both"/>
        <w:rPr>
          <w:rFonts w:ascii="Calibri" w:eastAsia="Calibri" w:hAnsi="Calibri" w:cs="Arial"/>
          <w:color w:val="auto"/>
          <w:sz w:val="22"/>
          <w:szCs w:val="22"/>
          <w:lang w:val="en-US"/>
        </w:rPr>
      </w:pPr>
      <w:r w:rsidRPr="00D329DA">
        <w:rPr>
          <w:rFonts w:ascii="Calibri" w:eastAsia="Calibri" w:hAnsi="Calibri" w:cs="Arial"/>
          <w:color w:val="auto"/>
          <w:sz w:val="22"/>
          <w:szCs w:val="22"/>
          <w:lang w:val="en-US"/>
        </w:rPr>
        <w:t xml:space="preserve">The indicators suggested by the UPU tries to take advantage of UPU’s postal big data, that consolidates data from postal and parcel delivery systems at the international level (with possible expansion to domestic transactions as well). An on-going project of developing a proxy for the use of ICT involves the UPU, UNSD </w:t>
      </w:r>
      <w:proofErr w:type="spellStart"/>
      <w:r w:rsidRPr="00D329DA">
        <w:rPr>
          <w:rFonts w:ascii="Calibri" w:eastAsia="Calibri" w:hAnsi="Calibri" w:cs="Arial"/>
          <w:color w:val="auto"/>
          <w:sz w:val="22"/>
          <w:szCs w:val="22"/>
          <w:lang w:val="en-US"/>
        </w:rPr>
        <w:t>Comtrade</w:t>
      </w:r>
      <w:proofErr w:type="spellEnd"/>
      <w:r w:rsidRPr="00D329DA">
        <w:rPr>
          <w:rFonts w:ascii="Calibri" w:eastAsia="Calibri" w:hAnsi="Calibri" w:cs="Arial"/>
          <w:color w:val="auto"/>
          <w:sz w:val="22"/>
          <w:szCs w:val="22"/>
          <w:lang w:val="en-US"/>
        </w:rPr>
        <w:t xml:space="preserve"> and UN Global Pulse. </w:t>
      </w:r>
    </w:p>
    <w:p w:rsidR="00D329DA" w:rsidRPr="00D329DA" w:rsidRDefault="00D329DA" w:rsidP="00D329DA">
      <w:pPr>
        <w:spacing w:after="200" w:line="276" w:lineRule="auto"/>
        <w:jc w:val="both"/>
        <w:rPr>
          <w:rFonts w:ascii="Calibri" w:eastAsia="Calibri" w:hAnsi="Calibri" w:cs="Arial"/>
          <w:color w:val="auto"/>
          <w:sz w:val="22"/>
          <w:szCs w:val="22"/>
          <w:lang w:val="en-US"/>
        </w:rPr>
      </w:pPr>
      <w:r w:rsidRPr="00D329DA">
        <w:rPr>
          <w:rFonts w:ascii="Calibri" w:eastAsia="Calibri" w:hAnsi="Calibri" w:cs="Arial"/>
          <w:color w:val="auto"/>
          <w:sz w:val="22"/>
          <w:szCs w:val="22"/>
          <w:lang w:val="en-US"/>
        </w:rPr>
        <w:t xml:space="preserve">The UPU collects data on a wide range of postal, parcel and express traffic volumes, increasingly related to the exponential development of e-commerce worldwide. More details are provided in Annex 1 under the “express items”, “postal parcels” and “other traffic information” sections. Part of the data is also publicly available on the UPU website: </w:t>
      </w:r>
      <w:hyperlink r:id="rId9" w:history="1">
        <w:r w:rsidRPr="00D329DA">
          <w:rPr>
            <w:rFonts w:ascii="Calibri" w:eastAsia="Calibri" w:hAnsi="Calibri" w:cs="Arial"/>
            <w:color w:val="0000FF"/>
            <w:sz w:val="22"/>
            <w:szCs w:val="22"/>
            <w:u w:val="single"/>
            <w:lang w:val="en-US"/>
          </w:rPr>
          <w:t>http://pls.upu.int/pls/ap/ssp_report.main?p_language=AN&amp;p_choice=BROWSE</w:t>
        </w:r>
      </w:hyperlink>
      <w:r w:rsidRPr="00D329DA">
        <w:rPr>
          <w:rFonts w:ascii="Calibri" w:eastAsia="Calibri" w:hAnsi="Calibri" w:cs="Arial"/>
          <w:color w:val="auto"/>
          <w:sz w:val="22"/>
          <w:szCs w:val="22"/>
          <w:lang w:val="en-US"/>
        </w:rPr>
        <w:t xml:space="preserve"> .</w:t>
      </w:r>
    </w:p>
    <w:p w:rsidR="0035634B" w:rsidRPr="00D329DA" w:rsidRDefault="0035634B">
      <w:pPr>
        <w:rPr>
          <w:lang w:val="en-US"/>
        </w:rPr>
      </w:pPr>
      <w:bookmarkStart w:id="0" w:name="_GoBack"/>
      <w:bookmarkEnd w:id="0"/>
    </w:p>
    <w:sectPr w:rsidR="0035634B" w:rsidRPr="00D329DA" w:rsidSect="00D329DA">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9DA"/>
    <w:rsid w:val="0035634B"/>
    <w:rsid w:val="00374D74"/>
    <w:rsid w:val="00D329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D329DA"/>
    <w:rPr>
      <w:rFonts w:ascii="Tahoma" w:hAnsi="Tahoma" w:cs="Tahoma"/>
      <w:sz w:val="16"/>
      <w:szCs w:val="16"/>
    </w:rPr>
  </w:style>
  <w:style w:type="character" w:customStyle="1" w:styleId="BalloonTextChar">
    <w:name w:val="Balloon Text Char"/>
    <w:basedOn w:val="DefaultParagraphFont"/>
    <w:link w:val="BalloonText"/>
    <w:uiPriority w:val="99"/>
    <w:semiHidden/>
    <w:rsid w:val="00D329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D329DA"/>
    <w:rPr>
      <w:rFonts w:ascii="Tahoma" w:hAnsi="Tahoma" w:cs="Tahoma"/>
      <w:sz w:val="16"/>
      <w:szCs w:val="16"/>
    </w:rPr>
  </w:style>
  <w:style w:type="character" w:customStyle="1" w:styleId="BalloonTextChar">
    <w:name w:val="Balloon Text Char"/>
    <w:basedOn w:val="DefaultParagraphFont"/>
    <w:link w:val="BalloonText"/>
    <w:uiPriority w:val="99"/>
    <w:semiHidden/>
    <w:rsid w:val="00D329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unctad.org/en/PublicationsLibrary/ier2015_en.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ls.upu.int/pls/ap/ssp_report.main?p_language=AN&amp;p_choice=BROWSE" TargetMode="External"/><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ls.upu.int/pls/ap/ssp_report.main?p_language=AN&amp;p_choice=BROW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2015-05-19T19:46:00Z</dcterms:created>
  <dcterms:modified xsi:type="dcterms:W3CDTF">2015-05-19T19:47:00Z</dcterms:modified>
</cp:coreProperties>
</file>